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D5150" w14:textId="620E1277" w:rsidR="00BA74C1" w:rsidRPr="00BA74C1" w:rsidRDefault="004E17D3" w:rsidP="00FD4713">
      <w:pPr>
        <w:spacing w:after="0" w:line="276" w:lineRule="auto"/>
        <w:jc w:val="both"/>
        <w:rPr>
          <w:rFonts w:ascii="Times New Roman" w:hAnsi="Times New Roman" w:cs="Times New Roman"/>
          <w:sz w:val="20"/>
          <w:szCs w:val="20"/>
        </w:rPr>
      </w:pPr>
      <w:r w:rsidRPr="00BA74C1">
        <w:rPr>
          <w:rFonts w:ascii="Times New Roman" w:hAnsi="Times New Roman" w:cs="Times New Roman"/>
          <w:sz w:val="20"/>
          <w:szCs w:val="20"/>
        </w:rPr>
        <w:t>EVB BİOGAZ ENERJİ ÜRETİM A.Ş., biyogazdan elektrik üretimi faaliyetlerini kalite yönetim sistemleri çerçevesinde, sürekli iyileştirme anlayışıyla ve en yüksek operasyonel verimlilikle sürdürmektedir. Kalite, işleyişimizin temelini oluşturmakta olup, üretimden tedarik zincirine, ekipman bakımından çalışan gelişimine kadar tüm süreçlerde uygulanmaktadır.</w:t>
      </w:r>
    </w:p>
    <w:p w14:paraId="1EC55860" w14:textId="693ED262" w:rsidR="004E17D3" w:rsidRDefault="004E17D3" w:rsidP="00FD4713">
      <w:pPr>
        <w:spacing w:after="0" w:line="276" w:lineRule="auto"/>
        <w:jc w:val="both"/>
        <w:rPr>
          <w:rFonts w:ascii="Times New Roman" w:hAnsi="Times New Roman" w:cs="Times New Roman"/>
          <w:b/>
          <w:bCs/>
          <w:sz w:val="20"/>
          <w:szCs w:val="20"/>
        </w:rPr>
      </w:pPr>
      <w:r w:rsidRPr="007F658F">
        <w:rPr>
          <w:rFonts w:ascii="Times New Roman" w:hAnsi="Times New Roman" w:cs="Times New Roman"/>
          <w:b/>
          <w:bCs/>
          <w:sz w:val="20"/>
          <w:szCs w:val="20"/>
        </w:rPr>
        <w:t>Bu doğrultuda kalite politikamız aşağıdaki ilkeleri içermektedir:</w:t>
      </w:r>
    </w:p>
    <w:p w14:paraId="4C609E28" w14:textId="77777777" w:rsidR="00DE58D4" w:rsidRPr="00366F29" w:rsidRDefault="00DE58D4" w:rsidP="00FD4713">
      <w:pPr>
        <w:spacing w:after="0" w:line="276" w:lineRule="auto"/>
        <w:jc w:val="both"/>
        <w:rPr>
          <w:rFonts w:ascii="Times New Roman" w:hAnsi="Times New Roman" w:cs="Times New Roman"/>
          <w:b/>
          <w:bCs/>
          <w:sz w:val="20"/>
          <w:szCs w:val="20"/>
        </w:rPr>
      </w:pPr>
    </w:p>
    <w:p w14:paraId="330C516C" w14:textId="61214188" w:rsidR="004E17D3" w:rsidRPr="00BA74C1" w:rsidRDefault="004E17D3" w:rsidP="00FD4713">
      <w:pPr>
        <w:spacing w:after="0" w:line="276" w:lineRule="auto"/>
        <w:jc w:val="both"/>
        <w:rPr>
          <w:rFonts w:ascii="Times New Roman" w:hAnsi="Times New Roman" w:cs="Times New Roman"/>
          <w:b/>
          <w:bCs/>
          <w:sz w:val="20"/>
          <w:szCs w:val="20"/>
        </w:rPr>
      </w:pPr>
      <w:r w:rsidRPr="00BA74C1">
        <w:rPr>
          <w:rFonts w:ascii="Times New Roman" w:hAnsi="Times New Roman" w:cs="Times New Roman"/>
          <w:b/>
          <w:bCs/>
          <w:sz w:val="20"/>
          <w:szCs w:val="20"/>
        </w:rPr>
        <w:t>Üretim Süreçlerinde Kalite Standartlarının Sağlanması</w:t>
      </w:r>
    </w:p>
    <w:p w14:paraId="40D540AA" w14:textId="77777777" w:rsidR="00FD4713" w:rsidRDefault="004E17D3" w:rsidP="00FD4713">
      <w:pPr>
        <w:numPr>
          <w:ilvl w:val="0"/>
          <w:numId w:val="8"/>
        </w:numPr>
        <w:tabs>
          <w:tab w:val="clear" w:pos="720"/>
          <w:tab w:val="num" w:pos="284"/>
        </w:tabs>
        <w:spacing w:after="0" w:line="276" w:lineRule="auto"/>
        <w:ind w:left="0" w:firstLine="0"/>
        <w:jc w:val="both"/>
        <w:rPr>
          <w:rFonts w:ascii="Times New Roman" w:hAnsi="Times New Roman" w:cs="Times New Roman"/>
          <w:sz w:val="20"/>
          <w:szCs w:val="20"/>
        </w:rPr>
      </w:pPr>
      <w:r w:rsidRPr="00BA74C1">
        <w:rPr>
          <w:rFonts w:ascii="Times New Roman" w:hAnsi="Times New Roman" w:cs="Times New Roman"/>
          <w:sz w:val="20"/>
          <w:szCs w:val="20"/>
        </w:rPr>
        <w:t>Üretim süreçlerini ulusal ve uluslararası kalite standartlarına uygun şekilde yürütmek,</w:t>
      </w:r>
    </w:p>
    <w:p w14:paraId="044CC353" w14:textId="77777777" w:rsidR="00FD4713" w:rsidRDefault="004E17D3" w:rsidP="00FD4713">
      <w:pPr>
        <w:numPr>
          <w:ilvl w:val="0"/>
          <w:numId w:val="8"/>
        </w:numPr>
        <w:tabs>
          <w:tab w:val="clear" w:pos="720"/>
          <w:tab w:val="num" w:pos="284"/>
        </w:tabs>
        <w:spacing w:after="0" w:line="276" w:lineRule="auto"/>
        <w:ind w:left="0" w:firstLine="0"/>
        <w:jc w:val="both"/>
        <w:rPr>
          <w:rFonts w:ascii="Times New Roman" w:hAnsi="Times New Roman" w:cs="Times New Roman"/>
          <w:sz w:val="20"/>
          <w:szCs w:val="20"/>
        </w:rPr>
      </w:pPr>
      <w:r w:rsidRPr="00FD4713">
        <w:rPr>
          <w:rFonts w:ascii="Times New Roman" w:hAnsi="Times New Roman" w:cs="Times New Roman"/>
          <w:sz w:val="20"/>
          <w:szCs w:val="20"/>
        </w:rPr>
        <w:t>Tesislerde kullanılan ekipman, makineler ve otomasyon sistemlerini kalite gerekliliklerine uygun olarak seçmek, kalibrasyonlarını düzenli olarak sağlamak,</w:t>
      </w:r>
    </w:p>
    <w:p w14:paraId="64BBB2DA" w14:textId="77777777" w:rsidR="00FD4713" w:rsidRDefault="004E17D3" w:rsidP="00FD4713">
      <w:pPr>
        <w:numPr>
          <w:ilvl w:val="0"/>
          <w:numId w:val="8"/>
        </w:numPr>
        <w:tabs>
          <w:tab w:val="clear" w:pos="720"/>
          <w:tab w:val="num" w:pos="284"/>
        </w:tabs>
        <w:spacing w:after="0" w:line="276" w:lineRule="auto"/>
        <w:ind w:left="0" w:firstLine="0"/>
        <w:jc w:val="both"/>
        <w:rPr>
          <w:rFonts w:ascii="Times New Roman" w:hAnsi="Times New Roman" w:cs="Times New Roman"/>
          <w:sz w:val="20"/>
          <w:szCs w:val="20"/>
        </w:rPr>
      </w:pPr>
      <w:r w:rsidRPr="00FD4713">
        <w:rPr>
          <w:rFonts w:ascii="Times New Roman" w:hAnsi="Times New Roman" w:cs="Times New Roman"/>
          <w:sz w:val="20"/>
          <w:szCs w:val="20"/>
        </w:rPr>
        <w:t>Elektrik üretim süreçlerinde oluşabilecek teknik aksaklıkları en aza indirerek sürekliliği sağlamak,</w:t>
      </w:r>
    </w:p>
    <w:p w14:paraId="2E666906" w14:textId="3EEB5229" w:rsidR="00A92A5B" w:rsidRPr="00FD4713" w:rsidRDefault="004E17D3" w:rsidP="00FD4713">
      <w:pPr>
        <w:numPr>
          <w:ilvl w:val="0"/>
          <w:numId w:val="8"/>
        </w:numPr>
        <w:tabs>
          <w:tab w:val="clear" w:pos="720"/>
          <w:tab w:val="num" w:pos="284"/>
        </w:tabs>
        <w:spacing w:after="0" w:line="276" w:lineRule="auto"/>
        <w:ind w:left="0" w:firstLine="0"/>
        <w:jc w:val="both"/>
        <w:rPr>
          <w:rFonts w:ascii="Times New Roman" w:hAnsi="Times New Roman" w:cs="Times New Roman"/>
          <w:sz w:val="20"/>
          <w:szCs w:val="20"/>
        </w:rPr>
      </w:pPr>
      <w:r w:rsidRPr="00FD4713">
        <w:rPr>
          <w:rFonts w:ascii="Times New Roman" w:hAnsi="Times New Roman" w:cs="Times New Roman"/>
          <w:sz w:val="20"/>
          <w:szCs w:val="20"/>
        </w:rPr>
        <w:t>Tesislerde proses ve operasyonel kontrolleri düzenli olarak gerçekleştirmek, kalite ölçüm ve analizlerini belirlenen kriterler doğrultusunda yapmak.</w:t>
      </w:r>
    </w:p>
    <w:p w14:paraId="63C4FB3D" w14:textId="5669A169" w:rsidR="004E17D3" w:rsidRPr="00BA74C1" w:rsidRDefault="004E17D3" w:rsidP="00FD4713">
      <w:pPr>
        <w:spacing w:after="0" w:line="276" w:lineRule="auto"/>
        <w:jc w:val="both"/>
        <w:rPr>
          <w:rFonts w:ascii="Times New Roman" w:hAnsi="Times New Roman" w:cs="Times New Roman"/>
          <w:b/>
          <w:bCs/>
          <w:sz w:val="20"/>
          <w:szCs w:val="20"/>
        </w:rPr>
      </w:pPr>
      <w:r w:rsidRPr="00BA74C1">
        <w:rPr>
          <w:rFonts w:ascii="Times New Roman" w:hAnsi="Times New Roman" w:cs="Times New Roman"/>
          <w:b/>
          <w:bCs/>
          <w:sz w:val="20"/>
          <w:szCs w:val="20"/>
        </w:rPr>
        <w:t>Kaynakların Kaliteli ve Verimli Kullanımı</w:t>
      </w:r>
    </w:p>
    <w:p w14:paraId="28ED4554" w14:textId="77777777" w:rsidR="00FD4713" w:rsidRDefault="004E17D3" w:rsidP="00FD4713">
      <w:pPr>
        <w:numPr>
          <w:ilvl w:val="0"/>
          <w:numId w:val="9"/>
        </w:numPr>
        <w:tabs>
          <w:tab w:val="clear" w:pos="720"/>
          <w:tab w:val="num" w:pos="284"/>
        </w:tabs>
        <w:spacing w:after="0" w:line="276" w:lineRule="auto"/>
        <w:ind w:left="0" w:firstLine="0"/>
        <w:jc w:val="both"/>
        <w:rPr>
          <w:rFonts w:ascii="Times New Roman" w:hAnsi="Times New Roman" w:cs="Times New Roman"/>
          <w:sz w:val="20"/>
          <w:szCs w:val="20"/>
        </w:rPr>
      </w:pPr>
      <w:r w:rsidRPr="00BA74C1">
        <w:rPr>
          <w:rFonts w:ascii="Times New Roman" w:hAnsi="Times New Roman" w:cs="Times New Roman"/>
          <w:sz w:val="20"/>
          <w:szCs w:val="20"/>
        </w:rPr>
        <w:t>Biyobozunur atıkların en uygun şekilde işlenerek en yüksek enerji veriminin elde edilmesini sağlamak,</w:t>
      </w:r>
    </w:p>
    <w:p w14:paraId="188C2DF9" w14:textId="77777777" w:rsidR="00FD4713" w:rsidRDefault="004E17D3" w:rsidP="00FD4713">
      <w:pPr>
        <w:numPr>
          <w:ilvl w:val="0"/>
          <w:numId w:val="9"/>
        </w:numPr>
        <w:tabs>
          <w:tab w:val="clear" w:pos="720"/>
          <w:tab w:val="num" w:pos="284"/>
        </w:tabs>
        <w:spacing w:after="0" w:line="276" w:lineRule="auto"/>
        <w:ind w:left="0" w:firstLine="0"/>
        <w:jc w:val="both"/>
        <w:rPr>
          <w:rFonts w:ascii="Times New Roman" w:hAnsi="Times New Roman" w:cs="Times New Roman"/>
          <w:sz w:val="20"/>
          <w:szCs w:val="20"/>
        </w:rPr>
      </w:pPr>
      <w:r w:rsidRPr="00FD4713">
        <w:rPr>
          <w:rFonts w:ascii="Times New Roman" w:hAnsi="Times New Roman" w:cs="Times New Roman"/>
          <w:sz w:val="20"/>
          <w:szCs w:val="20"/>
        </w:rPr>
        <w:t>Hammadde temininde kalite odaklı tedarik zinciri yönetimi uygulamak, biyogaz üretiminde kullanılacak malzemelerin kalite standartlarına uygunluğunu denetlemek,</w:t>
      </w:r>
    </w:p>
    <w:p w14:paraId="5726E8C5" w14:textId="71FD2BF4" w:rsidR="00A92A5B" w:rsidRPr="00FD4713" w:rsidRDefault="004E17D3" w:rsidP="00FD4713">
      <w:pPr>
        <w:numPr>
          <w:ilvl w:val="0"/>
          <w:numId w:val="9"/>
        </w:numPr>
        <w:tabs>
          <w:tab w:val="clear" w:pos="720"/>
          <w:tab w:val="num" w:pos="284"/>
        </w:tabs>
        <w:spacing w:after="0" w:line="276" w:lineRule="auto"/>
        <w:ind w:left="0" w:firstLine="0"/>
        <w:jc w:val="both"/>
        <w:rPr>
          <w:rFonts w:ascii="Times New Roman" w:hAnsi="Times New Roman" w:cs="Times New Roman"/>
          <w:sz w:val="20"/>
          <w:szCs w:val="20"/>
        </w:rPr>
      </w:pPr>
      <w:r w:rsidRPr="00FD4713">
        <w:rPr>
          <w:rFonts w:ascii="Times New Roman" w:hAnsi="Times New Roman" w:cs="Times New Roman"/>
          <w:sz w:val="20"/>
          <w:szCs w:val="20"/>
        </w:rPr>
        <w:t>Enerji üretim süreçlerinde atık ve yan ürünleri minimum seviyede tutarak verimlilik odaklı çalışma yöntemleri geliştirmek.</w:t>
      </w:r>
    </w:p>
    <w:p w14:paraId="3D4EC7AA" w14:textId="0127BC04" w:rsidR="004E17D3" w:rsidRPr="00BA74C1" w:rsidRDefault="004E17D3" w:rsidP="00FD4713">
      <w:pPr>
        <w:spacing w:after="0" w:line="276" w:lineRule="auto"/>
        <w:jc w:val="both"/>
        <w:rPr>
          <w:rFonts w:ascii="Times New Roman" w:hAnsi="Times New Roman" w:cs="Times New Roman"/>
          <w:b/>
          <w:bCs/>
          <w:sz w:val="20"/>
          <w:szCs w:val="20"/>
        </w:rPr>
      </w:pPr>
      <w:r w:rsidRPr="00BA74C1">
        <w:rPr>
          <w:rFonts w:ascii="Times New Roman" w:hAnsi="Times New Roman" w:cs="Times New Roman"/>
          <w:b/>
          <w:bCs/>
          <w:sz w:val="20"/>
          <w:szCs w:val="20"/>
        </w:rPr>
        <w:t>Risk Yönetimi ve Sürekli İyileştirme</w:t>
      </w:r>
    </w:p>
    <w:p w14:paraId="448270F8" w14:textId="77777777" w:rsidR="00AA0718" w:rsidRDefault="004E17D3" w:rsidP="00AA0718">
      <w:pPr>
        <w:numPr>
          <w:ilvl w:val="0"/>
          <w:numId w:val="10"/>
        </w:numPr>
        <w:tabs>
          <w:tab w:val="clear" w:pos="720"/>
          <w:tab w:val="num" w:pos="284"/>
        </w:tabs>
        <w:spacing w:after="0" w:line="276" w:lineRule="auto"/>
        <w:ind w:left="0" w:firstLine="0"/>
        <w:jc w:val="both"/>
        <w:rPr>
          <w:rFonts w:ascii="Times New Roman" w:hAnsi="Times New Roman" w:cs="Times New Roman"/>
          <w:sz w:val="20"/>
          <w:szCs w:val="20"/>
        </w:rPr>
      </w:pPr>
      <w:r w:rsidRPr="00BA74C1">
        <w:rPr>
          <w:rFonts w:ascii="Times New Roman" w:hAnsi="Times New Roman" w:cs="Times New Roman"/>
          <w:sz w:val="20"/>
          <w:szCs w:val="20"/>
        </w:rPr>
        <w:t>Üretim süreçlerinde kaliteyi etkileyebilecek riskleri önceden tespit etmek ve bu riskleri minimize edecek önleyici faaliyetler geliştirmek,</w:t>
      </w:r>
    </w:p>
    <w:p w14:paraId="52B1E9CC" w14:textId="77777777" w:rsidR="00AA0718" w:rsidRDefault="004E17D3" w:rsidP="00AA0718">
      <w:pPr>
        <w:numPr>
          <w:ilvl w:val="0"/>
          <w:numId w:val="10"/>
        </w:numPr>
        <w:tabs>
          <w:tab w:val="clear" w:pos="720"/>
          <w:tab w:val="num" w:pos="284"/>
        </w:tabs>
        <w:spacing w:after="0" w:line="276" w:lineRule="auto"/>
        <w:ind w:left="0" w:firstLine="0"/>
        <w:jc w:val="both"/>
        <w:rPr>
          <w:rFonts w:ascii="Times New Roman" w:hAnsi="Times New Roman" w:cs="Times New Roman"/>
          <w:sz w:val="20"/>
          <w:szCs w:val="20"/>
        </w:rPr>
      </w:pPr>
      <w:r w:rsidRPr="00AA0718">
        <w:rPr>
          <w:rFonts w:ascii="Times New Roman" w:hAnsi="Times New Roman" w:cs="Times New Roman"/>
          <w:sz w:val="20"/>
          <w:szCs w:val="20"/>
        </w:rPr>
        <w:t>Tesislerde bakım ve onarım süreçlerini planlı bir şekilde yürüterek, üretimde sürekliliği ve kaliteyi sağlamak,</w:t>
      </w:r>
    </w:p>
    <w:p w14:paraId="45970764" w14:textId="77777777" w:rsidR="00AA0718" w:rsidRDefault="004E17D3" w:rsidP="00AA0718">
      <w:pPr>
        <w:numPr>
          <w:ilvl w:val="0"/>
          <w:numId w:val="10"/>
        </w:numPr>
        <w:tabs>
          <w:tab w:val="clear" w:pos="720"/>
          <w:tab w:val="num" w:pos="284"/>
        </w:tabs>
        <w:spacing w:after="0" w:line="276" w:lineRule="auto"/>
        <w:ind w:left="0" w:firstLine="0"/>
        <w:jc w:val="both"/>
        <w:rPr>
          <w:rFonts w:ascii="Times New Roman" w:hAnsi="Times New Roman" w:cs="Times New Roman"/>
          <w:sz w:val="20"/>
          <w:szCs w:val="20"/>
        </w:rPr>
      </w:pPr>
      <w:r w:rsidRPr="00AA0718">
        <w:rPr>
          <w:rFonts w:ascii="Times New Roman" w:hAnsi="Times New Roman" w:cs="Times New Roman"/>
          <w:sz w:val="20"/>
          <w:szCs w:val="20"/>
        </w:rPr>
        <w:t>Elektrik üretim süreçlerinde meydana gelebilecek aksaklıkların tekrarını önlemek amacıyla kök neden analizleri yapmak,</w:t>
      </w:r>
    </w:p>
    <w:p w14:paraId="0132E0AF" w14:textId="05D132D0" w:rsidR="00A92A5B" w:rsidRPr="00AA0718" w:rsidRDefault="004E17D3" w:rsidP="00AA0718">
      <w:pPr>
        <w:numPr>
          <w:ilvl w:val="0"/>
          <w:numId w:val="10"/>
        </w:numPr>
        <w:tabs>
          <w:tab w:val="clear" w:pos="720"/>
          <w:tab w:val="num" w:pos="284"/>
        </w:tabs>
        <w:spacing w:after="0" w:line="276" w:lineRule="auto"/>
        <w:ind w:left="0" w:firstLine="0"/>
        <w:jc w:val="both"/>
        <w:rPr>
          <w:rFonts w:ascii="Times New Roman" w:hAnsi="Times New Roman" w:cs="Times New Roman"/>
          <w:sz w:val="20"/>
          <w:szCs w:val="20"/>
        </w:rPr>
      </w:pPr>
      <w:r w:rsidRPr="00AA0718">
        <w:rPr>
          <w:rFonts w:ascii="Times New Roman" w:hAnsi="Times New Roman" w:cs="Times New Roman"/>
          <w:sz w:val="20"/>
          <w:szCs w:val="20"/>
        </w:rPr>
        <w:t>Geri bildirim mekanizmalarını etkin kullanarak, kaliteyi artırmaya yönelik sistematik iyileştirme çalışmaları yürütmek.</w:t>
      </w:r>
    </w:p>
    <w:p w14:paraId="622E407C" w14:textId="42A0148D" w:rsidR="004E17D3" w:rsidRPr="00BA74C1" w:rsidRDefault="004E17D3" w:rsidP="00FD4713">
      <w:pPr>
        <w:spacing w:after="0" w:line="276" w:lineRule="auto"/>
        <w:jc w:val="both"/>
        <w:rPr>
          <w:rFonts w:ascii="Times New Roman" w:hAnsi="Times New Roman" w:cs="Times New Roman"/>
          <w:b/>
          <w:bCs/>
          <w:sz w:val="20"/>
          <w:szCs w:val="20"/>
        </w:rPr>
      </w:pPr>
      <w:r w:rsidRPr="00BA74C1">
        <w:rPr>
          <w:rFonts w:ascii="Times New Roman" w:hAnsi="Times New Roman" w:cs="Times New Roman"/>
          <w:b/>
          <w:bCs/>
          <w:sz w:val="20"/>
          <w:szCs w:val="20"/>
        </w:rPr>
        <w:t>Çalışan Yetkinlikleri ve Kalite Bilinci</w:t>
      </w:r>
    </w:p>
    <w:p w14:paraId="10BA488F" w14:textId="77777777" w:rsidR="00AA0718" w:rsidRDefault="004E17D3" w:rsidP="00AA0718">
      <w:pPr>
        <w:numPr>
          <w:ilvl w:val="0"/>
          <w:numId w:val="11"/>
        </w:numPr>
        <w:tabs>
          <w:tab w:val="clear" w:pos="720"/>
          <w:tab w:val="num" w:pos="284"/>
        </w:tabs>
        <w:spacing w:after="0" w:line="276" w:lineRule="auto"/>
        <w:ind w:left="0" w:firstLine="0"/>
        <w:jc w:val="both"/>
        <w:rPr>
          <w:rFonts w:ascii="Times New Roman" w:hAnsi="Times New Roman" w:cs="Times New Roman"/>
          <w:sz w:val="20"/>
          <w:szCs w:val="20"/>
        </w:rPr>
      </w:pPr>
      <w:r w:rsidRPr="00BA74C1">
        <w:rPr>
          <w:rFonts w:ascii="Times New Roman" w:hAnsi="Times New Roman" w:cs="Times New Roman"/>
          <w:sz w:val="20"/>
          <w:szCs w:val="20"/>
        </w:rPr>
        <w:t>Çalışanların kalite bilincini artırmak için düzenli eğitimler ve farkındalık programları gerçekleştirmek,</w:t>
      </w:r>
    </w:p>
    <w:p w14:paraId="05BA42B9" w14:textId="77777777" w:rsidR="00AA0718" w:rsidRDefault="004E17D3" w:rsidP="00AA0718">
      <w:pPr>
        <w:numPr>
          <w:ilvl w:val="0"/>
          <w:numId w:val="11"/>
        </w:numPr>
        <w:tabs>
          <w:tab w:val="clear" w:pos="720"/>
          <w:tab w:val="num" w:pos="284"/>
        </w:tabs>
        <w:spacing w:after="0" w:line="276" w:lineRule="auto"/>
        <w:ind w:left="0" w:firstLine="0"/>
        <w:jc w:val="both"/>
        <w:rPr>
          <w:rFonts w:ascii="Times New Roman" w:hAnsi="Times New Roman" w:cs="Times New Roman"/>
          <w:sz w:val="20"/>
          <w:szCs w:val="20"/>
        </w:rPr>
      </w:pPr>
      <w:r w:rsidRPr="00AA0718">
        <w:rPr>
          <w:rFonts w:ascii="Times New Roman" w:hAnsi="Times New Roman" w:cs="Times New Roman"/>
          <w:sz w:val="20"/>
          <w:szCs w:val="20"/>
        </w:rPr>
        <w:t>Kalite yönetim süreçlerine tüm çalışanların katılımını teşvik ederek sürekli iyileştirme kültürünü desteklemek,</w:t>
      </w:r>
    </w:p>
    <w:p w14:paraId="3111D6ED" w14:textId="5B131284" w:rsidR="00A92A5B" w:rsidRPr="00AA0718" w:rsidRDefault="004E17D3" w:rsidP="00AA0718">
      <w:pPr>
        <w:numPr>
          <w:ilvl w:val="0"/>
          <w:numId w:val="11"/>
        </w:numPr>
        <w:tabs>
          <w:tab w:val="clear" w:pos="720"/>
          <w:tab w:val="num" w:pos="284"/>
        </w:tabs>
        <w:spacing w:after="0" w:line="276" w:lineRule="auto"/>
        <w:ind w:left="0" w:firstLine="0"/>
        <w:jc w:val="both"/>
        <w:rPr>
          <w:rFonts w:ascii="Times New Roman" w:hAnsi="Times New Roman" w:cs="Times New Roman"/>
          <w:sz w:val="20"/>
          <w:szCs w:val="20"/>
        </w:rPr>
      </w:pPr>
      <w:r w:rsidRPr="00AA0718">
        <w:rPr>
          <w:rFonts w:ascii="Times New Roman" w:hAnsi="Times New Roman" w:cs="Times New Roman"/>
          <w:sz w:val="20"/>
          <w:szCs w:val="20"/>
        </w:rPr>
        <w:t>Personelin yetkinlik ve becerilerini geliştirmeye yönelik teknik ve operasyonel eğitimleri düzenli olarak sağlamak.</w:t>
      </w:r>
    </w:p>
    <w:p w14:paraId="6C352022" w14:textId="1039D154" w:rsidR="004E17D3" w:rsidRPr="00BA74C1" w:rsidRDefault="004E17D3" w:rsidP="00FD4713">
      <w:pPr>
        <w:spacing w:after="0" w:line="276" w:lineRule="auto"/>
        <w:jc w:val="both"/>
        <w:rPr>
          <w:rFonts w:ascii="Times New Roman" w:hAnsi="Times New Roman" w:cs="Times New Roman"/>
          <w:b/>
          <w:bCs/>
          <w:sz w:val="20"/>
          <w:szCs w:val="20"/>
        </w:rPr>
      </w:pPr>
      <w:r w:rsidRPr="00BA74C1">
        <w:rPr>
          <w:rFonts w:ascii="Times New Roman" w:hAnsi="Times New Roman" w:cs="Times New Roman"/>
          <w:b/>
          <w:bCs/>
          <w:sz w:val="20"/>
          <w:szCs w:val="20"/>
        </w:rPr>
        <w:t>Tedarikçi ve Paydaş Kalite Yönetimi</w:t>
      </w:r>
    </w:p>
    <w:p w14:paraId="3B9115D4" w14:textId="77777777" w:rsidR="00AA0718" w:rsidRDefault="004E17D3" w:rsidP="00AA0718">
      <w:pPr>
        <w:numPr>
          <w:ilvl w:val="0"/>
          <w:numId w:val="12"/>
        </w:numPr>
        <w:tabs>
          <w:tab w:val="clear" w:pos="720"/>
          <w:tab w:val="left" w:pos="284"/>
        </w:tabs>
        <w:spacing w:after="0" w:line="276" w:lineRule="auto"/>
        <w:ind w:left="0" w:firstLine="0"/>
        <w:jc w:val="both"/>
        <w:rPr>
          <w:rFonts w:ascii="Times New Roman" w:hAnsi="Times New Roman" w:cs="Times New Roman"/>
          <w:sz w:val="20"/>
          <w:szCs w:val="20"/>
        </w:rPr>
      </w:pPr>
      <w:r w:rsidRPr="00BA74C1">
        <w:rPr>
          <w:rFonts w:ascii="Times New Roman" w:hAnsi="Times New Roman" w:cs="Times New Roman"/>
          <w:sz w:val="20"/>
          <w:szCs w:val="20"/>
        </w:rPr>
        <w:t>Tedarikçi seçiminde kalite standartlarını esas almak, süreç içinde tedarikçi performansını sürekli gözlemlemek ve değerlendirmek,</w:t>
      </w:r>
    </w:p>
    <w:p w14:paraId="50DE0A86" w14:textId="77777777" w:rsidR="00AA0718" w:rsidRDefault="004E17D3" w:rsidP="00AA0718">
      <w:pPr>
        <w:numPr>
          <w:ilvl w:val="0"/>
          <w:numId w:val="12"/>
        </w:numPr>
        <w:tabs>
          <w:tab w:val="clear" w:pos="720"/>
          <w:tab w:val="left" w:pos="284"/>
        </w:tabs>
        <w:spacing w:after="0" w:line="276" w:lineRule="auto"/>
        <w:ind w:left="0" w:firstLine="0"/>
        <w:jc w:val="both"/>
        <w:rPr>
          <w:rFonts w:ascii="Times New Roman" w:hAnsi="Times New Roman" w:cs="Times New Roman"/>
          <w:sz w:val="20"/>
          <w:szCs w:val="20"/>
        </w:rPr>
      </w:pPr>
      <w:r w:rsidRPr="00AA0718">
        <w:rPr>
          <w:rFonts w:ascii="Times New Roman" w:hAnsi="Times New Roman" w:cs="Times New Roman"/>
          <w:sz w:val="20"/>
          <w:szCs w:val="20"/>
        </w:rPr>
        <w:t>İş ortakları ve yüklenicilerle kalite yönetim gerekliliklerine uygun olarak iş birlikleri geliştirmek,</w:t>
      </w:r>
    </w:p>
    <w:p w14:paraId="027BFB4C" w14:textId="5F7CC6A8" w:rsidR="00A92A5B" w:rsidRPr="00AA0718" w:rsidRDefault="004E17D3" w:rsidP="00AA0718">
      <w:pPr>
        <w:numPr>
          <w:ilvl w:val="0"/>
          <w:numId w:val="12"/>
        </w:numPr>
        <w:tabs>
          <w:tab w:val="clear" w:pos="720"/>
          <w:tab w:val="left" w:pos="284"/>
        </w:tabs>
        <w:spacing w:after="0" w:line="276" w:lineRule="auto"/>
        <w:ind w:left="0" w:firstLine="0"/>
        <w:jc w:val="both"/>
        <w:rPr>
          <w:rFonts w:ascii="Times New Roman" w:hAnsi="Times New Roman" w:cs="Times New Roman"/>
          <w:sz w:val="20"/>
          <w:szCs w:val="20"/>
        </w:rPr>
      </w:pPr>
      <w:r w:rsidRPr="00AA0718">
        <w:rPr>
          <w:rFonts w:ascii="Times New Roman" w:hAnsi="Times New Roman" w:cs="Times New Roman"/>
          <w:sz w:val="20"/>
          <w:szCs w:val="20"/>
        </w:rPr>
        <w:t>Tedarikçi ve alt yüklenicilerin kalite yönetim sistemine entegrasyonunu sağlamak, ortak kalite hedefleri doğrultusunda iş birliklerini güçlendirmek.</w:t>
      </w:r>
    </w:p>
    <w:p w14:paraId="1C8F31DA" w14:textId="2655737F" w:rsidR="004E17D3" w:rsidRPr="00BA74C1" w:rsidRDefault="004E17D3" w:rsidP="00FD4713">
      <w:pPr>
        <w:spacing w:after="0" w:line="276" w:lineRule="auto"/>
        <w:jc w:val="both"/>
        <w:rPr>
          <w:rFonts w:ascii="Times New Roman" w:hAnsi="Times New Roman" w:cs="Times New Roman"/>
          <w:b/>
          <w:bCs/>
          <w:sz w:val="20"/>
          <w:szCs w:val="20"/>
        </w:rPr>
      </w:pPr>
      <w:r w:rsidRPr="00BA74C1">
        <w:rPr>
          <w:rFonts w:ascii="Times New Roman" w:hAnsi="Times New Roman" w:cs="Times New Roman"/>
          <w:b/>
          <w:bCs/>
          <w:sz w:val="20"/>
          <w:szCs w:val="20"/>
        </w:rPr>
        <w:t>Denetim, Ölçüm ve Performans Yönetimi</w:t>
      </w:r>
    </w:p>
    <w:p w14:paraId="635814E3" w14:textId="77777777" w:rsidR="00BE4660" w:rsidRDefault="004E17D3" w:rsidP="00BE4660">
      <w:pPr>
        <w:numPr>
          <w:ilvl w:val="0"/>
          <w:numId w:val="13"/>
        </w:numPr>
        <w:tabs>
          <w:tab w:val="clear" w:pos="720"/>
          <w:tab w:val="num" w:pos="284"/>
        </w:tabs>
        <w:spacing w:after="0" w:line="276" w:lineRule="auto"/>
        <w:ind w:left="0" w:firstLine="0"/>
        <w:jc w:val="both"/>
        <w:rPr>
          <w:rFonts w:ascii="Times New Roman" w:hAnsi="Times New Roman" w:cs="Times New Roman"/>
          <w:sz w:val="20"/>
          <w:szCs w:val="20"/>
        </w:rPr>
      </w:pPr>
      <w:r w:rsidRPr="00BA74C1">
        <w:rPr>
          <w:rFonts w:ascii="Times New Roman" w:hAnsi="Times New Roman" w:cs="Times New Roman"/>
          <w:sz w:val="20"/>
          <w:szCs w:val="20"/>
        </w:rPr>
        <w:t>Üretim süreçleri, ekipman ve tesis performansını düzenli olarak ölçmek ve analiz etmek,</w:t>
      </w:r>
    </w:p>
    <w:p w14:paraId="4F6E9B6A" w14:textId="77777777" w:rsidR="00BE4660" w:rsidRDefault="004E17D3" w:rsidP="00BE4660">
      <w:pPr>
        <w:numPr>
          <w:ilvl w:val="0"/>
          <w:numId w:val="13"/>
        </w:numPr>
        <w:tabs>
          <w:tab w:val="clear" w:pos="720"/>
          <w:tab w:val="num" w:pos="284"/>
        </w:tabs>
        <w:spacing w:after="0" w:line="276" w:lineRule="auto"/>
        <w:ind w:left="0" w:firstLine="0"/>
        <w:jc w:val="both"/>
        <w:rPr>
          <w:rFonts w:ascii="Times New Roman" w:hAnsi="Times New Roman" w:cs="Times New Roman"/>
          <w:sz w:val="20"/>
          <w:szCs w:val="20"/>
        </w:rPr>
      </w:pPr>
      <w:r w:rsidRPr="00BE4660">
        <w:rPr>
          <w:rFonts w:ascii="Times New Roman" w:hAnsi="Times New Roman" w:cs="Times New Roman"/>
          <w:sz w:val="20"/>
          <w:szCs w:val="20"/>
        </w:rPr>
        <w:t>Kalite yönetim sisteminin etkinliğini artırmak amacıyla iç denetimler gerçekleştirmek,</w:t>
      </w:r>
    </w:p>
    <w:p w14:paraId="4C1083BE" w14:textId="678E0BFB" w:rsidR="004E17D3" w:rsidRPr="00BE4660" w:rsidRDefault="004E17D3" w:rsidP="00BE4660">
      <w:pPr>
        <w:numPr>
          <w:ilvl w:val="0"/>
          <w:numId w:val="13"/>
        </w:numPr>
        <w:tabs>
          <w:tab w:val="clear" w:pos="720"/>
          <w:tab w:val="num" w:pos="284"/>
        </w:tabs>
        <w:spacing w:after="0" w:line="276" w:lineRule="auto"/>
        <w:ind w:left="0" w:firstLine="0"/>
        <w:jc w:val="both"/>
        <w:rPr>
          <w:rFonts w:ascii="Times New Roman" w:hAnsi="Times New Roman" w:cs="Times New Roman"/>
          <w:sz w:val="20"/>
          <w:szCs w:val="20"/>
        </w:rPr>
      </w:pPr>
      <w:r w:rsidRPr="00BE4660">
        <w:rPr>
          <w:rFonts w:ascii="Times New Roman" w:hAnsi="Times New Roman" w:cs="Times New Roman"/>
          <w:sz w:val="20"/>
          <w:szCs w:val="20"/>
        </w:rPr>
        <w:t>Veri analizi ve kalite göstergeleri kullanarak üretim süreçlerindeki iyileştirme fırsatlarını belirlemek.</w:t>
      </w:r>
    </w:p>
    <w:p w14:paraId="46F02D35" w14:textId="77777777" w:rsidR="004E17D3" w:rsidRPr="00BA74C1" w:rsidRDefault="004E17D3" w:rsidP="00FD4713">
      <w:pPr>
        <w:spacing w:after="0" w:line="276" w:lineRule="auto"/>
        <w:jc w:val="both"/>
        <w:rPr>
          <w:rFonts w:ascii="Times New Roman" w:hAnsi="Times New Roman" w:cs="Times New Roman"/>
          <w:sz w:val="20"/>
          <w:szCs w:val="20"/>
        </w:rPr>
      </w:pPr>
    </w:p>
    <w:p w14:paraId="309AE106" w14:textId="77777777" w:rsidR="004E17D3" w:rsidRPr="00BE4660" w:rsidRDefault="004E17D3" w:rsidP="00FD4713">
      <w:pPr>
        <w:spacing w:after="0" w:line="276" w:lineRule="auto"/>
        <w:jc w:val="both"/>
        <w:rPr>
          <w:rFonts w:ascii="Times New Roman" w:hAnsi="Times New Roman" w:cs="Times New Roman"/>
          <w:b/>
          <w:bCs/>
          <w:sz w:val="20"/>
          <w:szCs w:val="20"/>
        </w:rPr>
      </w:pPr>
      <w:r w:rsidRPr="00BE4660">
        <w:rPr>
          <w:rFonts w:ascii="Times New Roman" w:hAnsi="Times New Roman" w:cs="Times New Roman"/>
          <w:b/>
          <w:bCs/>
          <w:sz w:val="20"/>
          <w:szCs w:val="20"/>
        </w:rPr>
        <w:t>EVB BİOGAZ ENERJİ ÜRETİM A.Ş., biyogazdan elektrik üretiminde kaliteyi temel prensip olarak benimsemekte ve tüm süreçlerde sürekli iyileştirme yaklaşımını sürdürmeyi taahhüt etmektedir.</w:t>
      </w:r>
    </w:p>
    <w:p w14:paraId="25ECFA09" w14:textId="77777777" w:rsidR="004E17D3" w:rsidRPr="00BA74C1" w:rsidRDefault="004E17D3" w:rsidP="00FD4713">
      <w:pPr>
        <w:spacing w:after="0" w:line="276" w:lineRule="auto"/>
        <w:jc w:val="both"/>
        <w:rPr>
          <w:rFonts w:ascii="Times New Roman" w:hAnsi="Times New Roman" w:cs="Times New Roman"/>
          <w:sz w:val="20"/>
          <w:szCs w:val="20"/>
        </w:rPr>
      </w:pPr>
    </w:p>
    <w:sectPr w:rsidR="004E17D3" w:rsidRPr="00BA74C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C5FD5" w14:textId="77777777" w:rsidR="00F74D71" w:rsidRDefault="00F74D71" w:rsidP="00F74D71">
      <w:pPr>
        <w:spacing w:after="0" w:line="240" w:lineRule="auto"/>
      </w:pPr>
      <w:r>
        <w:separator/>
      </w:r>
    </w:p>
  </w:endnote>
  <w:endnote w:type="continuationSeparator" w:id="0">
    <w:p w14:paraId="2D50915C" w14:textId="77777777" w:rsidR="00F74D71" w:rsidRDefault="00F74D71" w:rsidP="00F7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EC185" w14:textId="77777777" w:rsidR="007D5CAB" w:rsidRDefault="007D5CA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0F35F" w14:textId="77777777" w:rsidR="007B1858" w:rsidRPr="007D5CAB" w:rsidRDefault="007B1858" w:rsidP="007B1858">
    <w:pPr>
      <w:pStyle w:val="AltBilgi"/>
      <w:jc w:val="center"/>
      <w:rPr>
        <w:rStyle w:val="Kpr"/>
        <w:rFonts w:ascii="Times New Roman" w:hAnsi="Times New Roman" w:cs="Times New Roman"/>
        <w:sz w:val="20"/>
        <w:szCs w:val="20"/>
      </w:rPr>
    </w:pPr>
    <w:r w:rsidRPr="007D5CAB">
      <w:rPr>
        <w:rFonts w:ascii="Times New Roman" w:hAnsi="Times New Roman" w:cs="Times New Roman"/>
        <w:sz w:val="20"/>
        <w:szCs w:val="20"/>
      </w:rPr>
      <w:t xml:space="preserve">Merkez: Alsancak Mahallesi 1474 sokak No: 11/31 Konak – İzmir Tesis: Halilbeyli Mahallesi Kemalpaşa – İZMİR </w:t>
    </w:r>
    <w:hyperlink r:id="rId1" w:history="1">
      <w:r w:rsidRPr="007D5CAB">
        <w:rPr>
          <w:rStyle w:val="Kpr"/>
          <w:rFonts w:ascii="Times New Roman" w:hAnsi="Times New Roman" w:cs="Times New Roman"/>
          <w:sz w:val="20"/>
          <w:szCs w:val="20"/>
        </w:rPr>
        <w:t>info@evbbiogaz.com</w:t>
      </w:r>
    </w:hyperlink>
    <w:r w:rsidRPr="007D5CAB">
      <w:rPr>
        <w:rFonts w:ascii="Times New Roman" w:hAnsi="Times New Roman" w:cs="Times New Roman"/>
        <w:sz w:val="20"/>
        <w:szCs w:val="20"/>
      </w:rPr>
      <w:t xml:space="preserve"> - </w:t>
    </w:r>
    <w:hyperlink r:id="rId2" w:history="1">
      <w:r w:rsidRPr="007D5CAB">
        <w:rPr>
          <w:rStyle w:val="Kpr"/>
          <w:rFonts w:ascii="Times New Roman" w:hAnsi="Times New Roman" w:cs="Times New Roman"/>
          <w:sz w:val="20"/>
          <w:szCs w:val="20"/>
        </w:rPr>
        <w:t>www.evbbiogaz.com</w:t>
      </w:r>
    </w:hyperlink>
  </w:p>
  <w:tbl>
    <w:tblPr>
      <w:tblW w:w="9923" w:type="dxa"/>
      <w:tblInd w:w="108" w:type="dxa"/>
      <w:tblLayout w:type="fixed"/>
      <w:tblLook w:val="04A0" w:firstRow="1" w:lastRow="0" w:firstColumn="1" w:lastColumn="0" w:noHBand="0" w:noVBand="1"/>
    </w:tblPr>
    <w:tblGrid>
      <w:gridCol w:w="1276"/>
      <w:gridCol w:w="1276"/>
      <w:gridCol w:w="567"/>
      <w:gridCol w:w="2835"/>
      <w:gridCol w:w="2977"/>
      <w:gridCol w:w="992"/>
    </w:tblGrid>
    <w:tr w:rsidR="007D5CAB" w:rsidRPr="007D5CAB" w14:paraId="012A7350" w14:textId="77777777" w:rsidTr="00B768B5">
      <w:tc>
        <w:tcPr>
          <w:tcW w:w="1276" w:type="dxa"/>
        </w:tcPr>
        <w:p w14:paraId="480785FB" w14:textId="04EC0FB5" w:rsidR="007D5CAB" w:rsidRPr="007D5CAB" w:rsidRDefault="007D5CAB" w:rsidP="007D5CAB">
          <w:pPr>
            <w:pStyle w:val="AltBilgi"/>
            <w:ind w:left="-108" w:right="-108"/>
            <w:rPr>
              <w:rFonts w:ascii="Times New Roman" w:hAnsi="Times New Roman" w:cs="Times New Roman"/>
              <w:sz w:val="20"/>
              <w:szCs w:val="20"/>
            </w:rPr>
          </w:pPr>
          <w:r w:rsidRPr="007D5CAB">
            <w:rPr>
              <w:rFonts w:ascii="Times New Roman" w:hAnsi="Times New Roman" w:cs="Times New Roman"/>
              <w:sz w:val="20"/>
              <w:szCs w:val="20"/>
            </w:rPr>
            <w:t>EEK-EK-</w:t>
          </w:r>
          <w:r w:rsidR="0024544D">
            <w:rPr>
              <w:rFonts w:ascii="Times New Roman" w:hAnsi="Times New Roman" w:cs="Times New Roman"/>
              <w:sz w:val="20"/>
              <w:szCs w:val="20"/>
            </w:rPr>
            <w:t>6</w:t>
          </w:r>
          <w:r w:rsidRPr="007D5CAB">
            <w:rPr>
              <w:rFonts w:ascii="Times New Roman" w:hAnsi="Times New Roman" w:cs="Times New Roman"/>
              <w:sz w:val="20"/>
              <w:szCs w:val="20"/>
            </w:rPr>
            <w:t xml:space="preserve"> /</w:t>
          </w:r>
        </w:p>
      </w:tc>
      <w:tc>
        <w:tcPr>
          <w:tcW w:w="1276" w:type="dxa"/>
        </w:tcPr>
        <w:p w14:paraId="63ABC76C" w14:textId="77777777" w:rsidR="007D5CAB" w:rsidRPr="007D5CAB" w:rsidRDefault="007D5CAB" w:rsidP="007D5CAB">
          <w:pPr>
            <w:pStyle w:val="AltBilgi"/>
            <w:ind w:left="-108" w:right="-108"/>
            <w:rPr>
              <w:rFonts w:ascii="Times New Roman" w:hAnsi="Times New Roman" w:cs="Times New Roman"/>
              <w:sz w:val="20"/>
              <w:szCs w:val="20"/>
            </w:rPr>
          </w:pPr>
          <w:r w:rsidRPr="007D5CAB">
            <w:rPr>
              <w:rFonts w:ascii="Times New Roman" w:hAnsi="Times New Roman" w:cs="Times New Roman"/>
              <w:sz w:val="20"/>
              <w:szCs w:val="20"/>
            </w:rPr>
            <w:t>Y: 01.04.2024</w:t>
          </w:r>
        </w:p>
      </w:tc>
      <w:tc>
        <w:tcPr>
          <w:tcW w:w="567" w:type="dxa"/>
        </w:tcPr>
        <w:p w14:paraId="500E60E3" w14:textId="77777777" w:rsidR="007D5CAB" w:rsidRPr="007D5CAB" w:rsidRDefault="007D5CAB" w:rsidP="007D5CAB">
          <w:pPr>
            <w:pStyle w:val="AltBilgi"/>
            <w:ind w:left="-108" w:right="-108"/>
            <w:rPr>
              <w:rFonts w:ascii="Times New Roman" w:hAnsi="Times New Roman" w:cs="Times New Roman"/>
              <w:sz w:val="20"/>
              <w:szCs w:val="20"/>
            </w:rPr>
          </w:pPr>
          <w:r w:rsidRPr="007D5CAB">
            <w:rPr>
              <w:rFonts w:ascii="Times New Roman" w:hAnsi="Times New Roman" w:cs="Times New Roman"/>
              <w:sz w:val="20"/>
              <w:szCs w:val="20"/>
            </w:rPr>
            <w:t>/ R: 00</w:t>
          </w:r>
        </w:p>
      </w:tc>
      <w:tc>
        <w:tcPr>
          <w:tcW w:w="2835" w:type="dxa"/>
        </w:tcPr>
        <w:p w14:paraId="52A7B875" w14:textId="77777777" w:rsidR="007D5CAB" w:rsidRPr="007D5CAB" w:rsidRDefault="007D5CAB" w:rsidP="007D5CAB">
          <w:pPr>
            <w:pStyle w:val="AltBilgi"/>
            <w:ind w:left="-108" w:right="-108"/>
            <w:rPr>
              <w:rFonts w:ascii="Times New Roman" w:hAnsi="Times New Roman" w:cs="Times New Roman"/>
              <w:sz w:val="20"/>
              <w:szCs w:val="20"/>
            </w:rPr>
          </w:pPr>
          <w:r w:rsidRPr="007D5CAB">
            <w:rPr>
              <w:rFonts w:ascii="Times New Roman" w:hAnsi="Times New Roman" w:cs="Times New Roman"/>
              <w:sz w:val="20"/>
              <w:szCs w:val="20"/>
            </w:rPr>
            <w:t>/</w:t>
          </w:r>
        </w:p>
      </w:tc>
      <w:tc>
        <w:tcPr>
          <w:tcW w:w="2977" w:type="dxa"/>
        </w:tcPr>
        <w:p w14:paraId="075C5219" w14:textId="77777777" w:rsidR="007D5CAB" w:rsidRPr="007D5CAB" w:rsidRDefault="007D5CAB" w:rsidP="007D5CAB">
          <w:pPr>
            <w:pStyle w:val="AltBilgi"/>
            <w:rPr>
              <w:rFonts w:ascii="Times New Roman" w:hAnsi="Times New Roman" w:cs="Times New Roman"/>
              <w:sz w:val="20"/>
              <w:szCs w:val="20"/>
            </w:rPr>
          </w:pPr>
        </w:p>
      </w:tc>
      <w:tc>
        <w:tcPr>
          <w:tcW w:w="992" w:type="dxa"/>
        </w:tcPr>
        <w:p w14:paraId="7BC64AA4" w14:textId="77777777" w:rsidR="007D5CAB" w:rsidRPr="007D5CAB" w:rsidRDefault="007D5CAB" w:rsidP="007D5CAB">
          <w:pPr>
            <w:pStyle w:val="AltBilgi"/>
            <w:ind w:left="-900"/>
            <w:jc w:val="right"/>
            <w:rPr>
              <w:rFonts w:ascii="Times New Roman" w:hAnsi="Times New Roman" w:cs="Times New Roman"/>
              <w:sz w:val="20"/>
              <w:szCs w:val="20"/>
            </w:rPr>
          </w:pPr>
          <w:r w:rsidRPr="007D5CAB">
            <w:rPr>
              <w:rFonts w:ascii="Times New Roman" w:hAnsi="Times New Roman" w:cs="Times New Roman"/>
              <w:sz w:val="20"/>
              <w:szCs w:val="20"/>
            </w:rPr>
            <w:t xml:space="preserve">Sayfa </w:t>
          </w:r>
          <w:r w:rsidRPr="007D5CAB">
            <w:rPr>
              <w:rFonts w:ascii="Times New Roman" w:hAnsi="Times New Roman" w:cs="Times New Roman"/>
              <w:sz w:val="20"/>
              <w:szCs w:val="20"/>
            </w:rPr>
            <w:fldChar w:fldCharType="begin"/>
          </w:r>
          <w:r w:rsidRPr="007D5CAB">
            <w:rPr>
              <w:rFonts w:ascii="Times New Roman" w:hAnsi="Times New Roman" w:cs="Times New Roman"/>
              <w:sz w:val="20"/>
              <w:szCs w:val="20"/>
            </w:rPr>
            <w:instrText xml:space="preserve"> PAGE </w:instrText>
          </w:r>
          <w:r w:rsidRPr="007D5CAB">
            <w:rPr>
              <w:rFonts w:ascii="Times New Roman" w:hAnsi="Times New Roman" w:cs="Times New Roman"/>
              <w:sz w:val="20"/>
              <w:szCs w:val="20"/>
            </w:rPr>
            <w:fldChar w:fldCharType="separate"/>
          </w:r>
          <w:r w:rsidRPr="007D5CAB">
            <w:rPr>
              <w:rFonts w:ascii="Times New Roman" w:hAnsi="Times New Roman" w:cs="Times New Roman"/>
              <w:sz w:val="20"/>
              <w:szCs w:val="20"/>
            </w:rPr>
            <w:t>1</w:t>
          </w:r>
          <w:r w:rsidRPr="007D5CAB">
            <w:rPr>
              <w:rFonts w:ascii="Times New Roman" w:hAnsi="Times New Roman" w:cs="Times New Roman"/>
              <w:sz w:val="20"/>
              <w:szCs w:val="20"/>
            </w:rPr>
            <w:fldChar w:fldCharType="end"/>
          </w:r>
          <w:r w:rsidRPr="007D5CAB">
            <w:rPr>
              <w:rFonts w:ascii="Times New Roman" w:hAnsi="Times New Roman" w:cs="Times New Roman"/>
              <w:sz w:val="20"/>
              <w:szCs w:val="20"/>
            </w:rPr>
            <w:t xml:space="preserve"> / </w:t>
          </w:r>
          <w:r w:rsidRPr="007D5CAB">
            <w:rPr>
              <w:rFonts w:ascii="Times New Roman" w:hAnsi="Times New Roman" w:cs="Times New Roman"/>
              <w:sz w:val="20"/>
              <w:szCs w:val="20"/>
            </w:rPr>
            <w:fldChar w:fldCharType="begin"/>
          </w:r>
          <w:r w:rsidRPr="007D5CAB">
            <w:rPr>
              <w:rFonts w:ascii="Times New Roman" w:hAnsi="Times New Roman" w:cs="Times New Roman"/>
              <w:sz w:val="20"/>
              <w:szCs w:val="20"/>
            </w:rPr>
            <w:instrText xml:space="preserve"> NUMPAGES </w:instrText>
          </w:r>
          <w:r w:rsidRPr="007D5CAB">
            <w:rPr>
              <w:rFonts w:ascii="Times New Roman" w:hAnsi="Times New Roman" w:cs="Times New Roman"/>
              <w:sz w:val="20"/>
              <w:szCs w:val="20"/>
            </w:rPr>
            <w:fldChar w:fldCharType="separate"/>
          </w:r>
          <w:r w:rsidRPr="007D5CAB">
            <w:rPr>
              <w:rFonts w:ascii="Times New Roman" w:hAnsi="Times New Roman" w:cs="Times New Roman"/>
              <w:sz w:val="20"/>
              <w:szCs w:val="20"/>
            </w:rPr>
            <w:t>1</w:t>
          </w:r>
          <w:r w:rsidRPr="007D5CAB">
            <w:rPr>
              <w:rFonts w:ascii="Times New Roman" w:hAnsi="Times New Roman" w:cs="Times New Roman"/>
              <w:sz w:val="20"/>
              <w:szCs w:val="20"/>
            </w:rPr>
            <w:fldChar w:fldCharType="end"/>
          </w:r>
        </w:p>
      </w:tc>
    </w:tr>
  </w:tbl>
  <w:p w14:paraId="0C2B75E3" w14:textId="77777777" w:rsidR="007B1858" w:rsidRPr="007D5CAB" w:rsidRDefault="007B1858">
    <w:pPr>
      <w:pStyle w:val="AltBilgi"/>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B8E79" w14:textId="77777777" w:rsidR="007D5CAB" w:rsidRDefault="007D5C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B1C03" w14:textId="77777777" w:rsidR="00F74D71" w:rsidRDefault="00F74D71" w:rsidP="00F74D71">
      <w:pPr>
        <w:spacing w:after="0" w:line="240" w:lineRule="auto"/>
      </w:pPr>
      <w:r>
        <w:separator/>
      </w:r>
    </w:p>
  </w:footnote>
  <w:footnote w:type="continuationSeparator" w:id="0">
    <w:p w14:paraId="1AF21A18" w14:textId="77777777" w:rsidR="00F74D71" w:rsidRDefault="00F74D71" w:rsidP="00F74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23362" w14:textId="77777777" w:rsidR="007D5CAB" w:rsidRDefault="007D5CA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4"/>
      <w:gridCol w:w="4539"/>
      <w:gridCol w:w="2249"/>
    </w:tblGrid>
    <w:tr w:rsidR="00F74D71" w14:paraId="522A709F" w14:textId="77777777" w:rsidTr="00F74D71">
      <w:tc>
        <w:tcPr>
          <w:tcW w:w="2405" w:type="dxa"/>
        </w:tcPr>
        <w:p w14:paraId="6BE773DD" w14:textId="77777777" w:rsidR="00F74D71" w:rsidRDefault="00F74D71" w:rsidP="00F74D71">
          <w:pPr>
            <w:pStyle w:val="stBilgi"/>
          </w:pPr>
          <w:r>
            <w:rPr>
              <w:noProof/>
            </w:rPr>
            <w:drawing>
              <wp:inline distT="0" distB="0" distL="0" distR="0" wp14:anchorId="66CF2292" wp14:editId="336E2DE8">
                <wp:extent cx="784746" cy="784746"/>
                <wp:effectExtent l="0" t="0" r="0" b="0"/>
                <wp:docPr id="1948641420" name="Resim 1" descr="logo, grafik, yazı tipi,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641420" name="Resim 1" descr="logo, grafik, yazı tipi, tasarı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794781" cy="794781"/>
                        </a:xfrm>
                        <a:prstGeom prst="rect">
                          <a:avLst/>
                        </a:prstGeom>
                      </pic:spPr>
                    </pic:pic>
                  </a:graphicData>
                </a:graphic>
              </wp:inline>
            </w:drawing>
          </w:r>
        </w:p>
      </w:tc>
      <w:tc>
        <w:tcPr>
          <w:tcW w:w="4961" w:type="dxa"/>
        </w:tcPr>
        <w:p w14:paraId="2954C785" w14:textId="77777777" w:rsidR="00F74D71" w:rsidRDefault="00F74D71" w:rsidP="00F74D71">
          <w:pPr>
            <w:pStyle w:val="stBilgi"/>
          </w:pPr>
        </w:p>
      </w:tc>
      <w:tc>
        <w:tcPr>
          <w:tcW w:w="2545" w:type="dxa"/>
        </w:tcPr>
        <w:p w14:paraId="3476F1E3" w14:textId="77777777" w:rsidR="00F74D71" w:rsidRDefault="00F74D71" w:rsidP="00F74D71">
          <w:pPr>
            <w:pStyle w:val="stBilgi"/>
          </w:pPr>
        </w:p>
      </w:tc>
    </w:tr>
    <w:tr w:rsidR="00F74D71" w:rsidRPr="00DA45C7" w14:paraId="7D7E0693" w14:textId="77777777" w:rsidTr="00F74D71">
      <w:tc>
        <w:tcPr>
          <w:tcW w:w="2405" w:type="dxa"/>
        </w:tcPr>
        <w:p w14:paraId="412F77D3" w14:textId="77777777" w:rsidR="00F74D71" w:rsidRPr="00DA45C7" w:rsidRDefault="00F74D71" w:rsidP="00F74D71">
          <w:pPr>
            <w:pStyle w:val="stBilgi"/>
            <w:rPr>
              <w:rFonts w:ascii="Times New Roman" w:hAnsi="Times New Roman" w:cs="Times New Roman"/>
              <w:sz w:val="24"/>
              <w:szCs w:val="24"/>
            </w:rPr>
          </w:pPr>
        </w:p>
      </w:tc>
      <w:tc>
        <w:tcPr>
          <w:tcW w:w="4961" w:type="dxa"/>
        </w:tcPr>
        <w:p w14:paraId="5514C15A" w14:textId="7F149EB9" w:rsidR="00F74D71" w:rsidRPr="00DA45C7" w:rsidRDefault="00F74D71" w:rsidP="00F74D71">
          <w:pPr>
            <w:pStyle w:val="stBilgi"/>
            <w:jc w:val="center"/>
            <w:rPr>
              <w:rFonts w:ascii="Times New Roman" w:hAnsi="Times New Roman" w:cs="Times New Roman"/>
              <w:b/>
              <w:bCs/>
              <w:sz w:val="24"/>
              <w:szCs w:val="24"/>
            </w:rPr>
          </w:pPr>
          <w:r>
            <w:rPr>
              <w:rFonts w:ascii="Times New Roman" w:hAnsi="Times New Roman" w:cs="Times New Roman"/>
              <w:b/>
              <w:bCs/>
              <w:sz w:val="24"/>
              <w:szCs w:val="24"/>
            </w:rPr>
            <w:t>KALİTE</w:t>
          </w:r>
          <w:r w:rsidRPr="00DA45C7">
            <w:rPr>
              <w:rFonts w:ascii="Times New Roman" w:hAnsi="Times New Roman" w:cs="Times New Roman"/>
              <w:b/>
              <w:bCs/>
              <w:sz w:val="24"/>
              <w:szCs w:val="24"/>
            </w:rPr>
            <w:t xml:space="preserve"> POLİTİKASI</w:t>
          </w:r>
        </w:p>
      </w:tc>
      <w:tc>
        <w:tcPr>
          <w:tcW w:w="2545" w:type="dxa"/>
        </w:tcPr>
        <w:p w14:paraId="184A8286" w14:textId="77777777" w:rsidR="00F74D71" w:rsidRPr="00DA45C7" w:rsidRDefault="00F74D71" w:rsidP="00F74D71">
          <w:pPr>
            <w:pStyle w:val="stBilgi"/>
            <w:rPr>
              <w:rFonts w:ascii="Times New Roman" w:hAnsi="Times New Roman" w:cs="Times New Roman"/>
              <w:sz w:val="24"/>
              <w:szCs w:val="24"/>
            </w:rPr>
          </w:pPr>
        </w:p>
      </w:tc>
    </w:tr>
  </w:tbl>
  <w:p w14:paraId="50D2DB32" w14:textId="77777777" w:rsidR="00F74D71" w:rsidRDefault="00F74D71" w:rsidP="00366F2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92FD0" w14:textId="77777777" w:rsidR="007D5CAB" w:rsidRDefault="007D5C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3E2B"/>
    <w:multiLevelType w:val="multilevel"/>
    <w:tmpl w:val="5344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91901"/>
    <w:multiLevelType w:val="multilevel"/>
    <w:tmpl w:val="C8E4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D1862"/>
    <w:multiLevelType w:val="multilevel"/>
    <w:tmpl w:val="3AD8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A012B"/>
    <w:multiLevelType w:val="multilevel"/>
    <w:tmpl w:val="166A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E7529"/>
    <w:multiLevelType w:val="multilevel"/>
    <w:tmpl w:val="F778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7296C"/>
    <w:multiLevelType w:val="multilevel"/>
    <w:tmpl w:val="8DAC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A603D"/>
    <w:multiLevelType w:val="multilevel"/>
    <w:tmpl w:val="9338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D26FE6"/>
    <w:multiLevelType w:val="multilevel"/>
    <w:tmpl w:val="3008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A4392F"/>
    <w:multiLevelType w:val="hybridMultilevel"/>
    <w:tmpl w:val="0986CA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B1A1375"/>
    <w:multiLevelType w:val="multilevel"/>
    <w:tmpl w:val="5138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7F1E6A"/>
    <w:multiLevelType w:val="multilevel"/>
    <w:tmpl w:val="0B22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7C6123"/>
    <w:multiLevelType w:val="multilevel"/>
    <w:tmpl w:val="7322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EC1DCE"/>
    <w:multiLevelType w:val="multilevel"/>
    <w:tmpl w:val="1E7E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6788318">
    <w:abstractNumId w:val="12"/>
  </w:num>
  <w:num w:numId="2" w16cid:durableId="1382904014">
    <w:abstractNumId w:val="10"/>
  </w:num>
  <w:num w:numId="3" w16cid:durableId="374505042">
    <w:abstractNumId w:val="9"/>
  </w:num>
  <w:num w:numId="4" w16cid:durableId="569732904">
    <w:abstractNumId w:val="11"/>
  </w:num>
  <w:num w:numId="5" w16cid:durableId="1694765516">
    <w:abstractNumId w:val="8"/>
  </w:num>
  <w:num w:numId="6" w16cid:durableId="561906888">
    <w:abstractNumId w:val="4"/>
  </w:num>
  <w:num w:numId="7" w16cid:durableId="2110655603">
    <w:abstractNumId w:val="3"/>
  </w:num>
  <w:num w:numId="8" w16cid:durableId="1760716854">
    <w:abstractNumId w:val="0"/>
  </w:num>
  <w:num w:numId="9" w16cid:durableId="331416246">
    <w:abstractNumId w:val="2"/>
  </w:num>
  <w:num w:numId="10" w16cid:durableId="911038618">
    <w:abstractNumId w:val="5"/>
  </w:num>
  <w:num w:numId="11" w16cid:durableId="569653669">
    <w:abstractNumId w:val="6"/>
  </w:num>
  <w:num w:numId="12" w16cid:durableId="1573613310">
    <w:abstractNumId w:val="1"/>
  </w:num>
  <w:num w:numId="13" w16cid:durableId="6347220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98"/>
    <w:rsid w:val="0024544D"/>
    <w:rsid w:val="00366F29"/>
    <w:rsid w:val="003B4676"/>
    <w:rsid w:val="0040451F"/>
    <w:rsid w:val="00466098"/>
    <w:rsid w:val="004D120C"/>
    <w:rsid w:val="004E17D3"/>
    <w:rsid w:val="00541CD7"/>
    <w:rsid w:val="005A6479"/>
    <w:rsid w:val="006C36A1"/>
    <w:rsid w:val="006F0FB2"/>
    <w:rsid w:val="007B1858"/>
    <w:rsid w:val="007D5CAB"/>
    <w:rsid w:val="007F658F"/>
    <w:rsid w:val="00803C7E"/>
    <w:rsid w:val="00823AD2"/>
    <w:rsid w:val="008D5016"/>
    <w:rsid w:val="00A92A5B"/>
    <w:rsid w:val="00AA0718"/>
    <w:rsid w:val="00AC029D"/>
    <w:rsid w:val="00B027CE"/>
    <w:rsid w:val="00B5288A"/>
    <w:rsid w:val="00B74E0D"/>
    <w:rsid w:val="00B779E7"/>
    <w:rsid w:val="00BA74C1"/>
    <w:rsid w:val="00BE4660"/>
    <w:rsid w:val="00DE58D4"/>
    <w:rsid w:val="00F33722"/>
    <w:rsid w:val="00F74D71"/>
    <w:rsid w:val="00FD47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EAE1"/>
  <w15:chartTrackingRefBased/>
  <w15:docId w15:val="{B17F06F3-A8B5-4B90-8916-646C6977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660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660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6609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6609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6609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6609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6609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6609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6609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609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6609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6609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6609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6609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6609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6609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6609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66098"/>
    <w:rPr>
      <w:rFonts w:eastAsiaTheme="majorEastAsia" w:cstheme="majorBidi"/>
      <w:color w:val="272727" w:themeColor="text1" w:themeTint="D8"/>
    </w:rPr>
  </w:style>
  <w:style w:type="paragraph" w:styleId="KonuBal">
    <w:name w:val="Title"/>
    <w:basedOn w:val="Normal"/>
    <w:next w:val="Normal"/>
    <w:link w:val="KonuBalChar"/>
    <w:uiPriority w:val="10"/>
    <w:qFormat/>
    <w:rsid w:val="00466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6609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6609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6609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6609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66098"/>
    <w:rPr>
      <w:i/>
      <w:iCs/>
      <w:color w:val="404040" w:themeColor="text1" w:themeTint="BF"/>
    </w:rPr>
  </w:style>
  <w:style w:type="paragraph" w:styleId="ListeParagraf">
    <w:name w:val="List Paragraph"/>
    <w:basedOn w:val="Normal"/>
    <w:uiPriority w:val="34"/>
    <w:qFormat/>
    <w:rsid w:val="00466098"/>
    <w:pPr>
      <w:ind w:left="720"/>
      <w:contextualSpacing/>
    </w:pPr>
  </w:style>
  <w:style w:type="character" w:styleId="GlVurgulama">
    <w:name w:val="Intense Emphasis"/>
    <w:basedOn w:val="VarsaylanParagrafYazTipi"/>
    <w:uiPriority w:val="21"/>
    <w:qFormat/>
    <w:rsid w:val="00466098"/>
    <w:rPr>
      <w:i/>
      <w:iCs/>
      <w:color w:val="0F4761" w:themeColor="accent1" w:themeShade="BF"/>
    </w:rPr>
  </w:style>
  <w:style w:type="paragraph" w:styleId="GlAlnt">
    <w:name w:val="Intense Quote"/>
    <w:basedOn w:val="Normal"/>
    <w:next w:val="Normal"/>
    <w:link w:val="GlAlntChar"/>
    <w:uiPriority w:val="30"/>
    <w:qFormat/>
    <w:rsid w:val="004660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66098"/>
    <w:rPr>
      <w:i/>
      <w:iCs/>
      <w:color w:val="0F4761" w:themeColor="accent1" w:themeShade="BF"/>
    </w:rPr>
  </w:style>
  <w:style w:type="character" w:styleId="GlBavuru">
    <w:name w:val="Intense Reference"/>
    <w:basedOn w:val="VarsaylanParagrafYazTipi"/>
    <w:uiPriority w:val="32"/>
    <w:qFormat/>
    <w:rsid w:val="00466098"/>
    <w:rPr>
      <w:b/>
      <w:bCs/>
      <w:smallCaps/>
      <w:color w:val="0F4761" w:themeColor="accent1" w:themeShade="BF"/>
      <w:spacing w:val="5"/>
    </w:rPr>
  </w:style>
  <w:style w:type="paragraph" w:styleId="stBilgi">
    <w:name w:val="header"/>
    <w:basedOn w:val="Normal"/>
    <w:link w:val="stBilgiChar"/>
    <w:uiPriority w:val="99"/>
    <w:unhideWhenUsed/>
    <w:rsid w:val="00F74D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4D71"/>
  </w:style>
  <w:style w:type="paragraph" w:styleId="AltBilgi">
    <w:name w:val="footer"/>
    <w:basedOn w:val="Normal"/>
    <w:link w:val="AltBilgiChar"/>
    <w:unhideWhenUsed/>
    <w:rsid w:val="00F74D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4D71"/>
  </w:style>
  <w:style w:type="table" w:styleId="TabloKlavuzu">
    <w:name w:val="Table Grid"/>
    <w:basedOn w:val="NormalTablo"/>
    <w:uiPriority w:val="59"/>
    <w:rsid w:val="00F74D71"/>
    <w:pPr>
      <w:spacing w:after="0" w:line="240" w:lineRule="auto"/>
    </w:pPr>
    <w:rPr>
      <w:rFonts w:eastAsiaTheme="minorEastAsia"/>
      <w:kern w:val="0"/>
      <w:sz w:val="22"/>
      <w:szCs w:val="22"/>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nhideWhenUsed/>
    <w:rsid w:val="007B18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2231">
      <w:bodyDiv w:val="1"/>
      <w:marLeft w:val="0"/>
      <w:marRight w:val="0"/>
      <w:marTop w:val="0"/>
      <w:marBottom w:val="0"/>
      <w:divBdr>
        <w:top w:val="none" w:sz="0" w:space="0" w:color="auto"/>
        <w:left w:val="none" w:sz="0" w:space="0" w:color="auto"/>
        <w:bottom w:val="none" w:sz="0" w:space="0" w:color="auto"/>
        <w:right w:val="none" w:sz="0" w:space="0" w:color="auto"/>
      </w:divBdr>
    </w:div>
    <w:div w:id="72557300">
      <w:bodyDiv w:val="1"/>
      <w:marLeft w:val="0"/>
      <w:marRight w:val="0"/>
      <w:marTop w:val="0"/>
      <w:marBottom w:val="0"/>
      <w:divBdr>
        <w:top w:val="none" w:sz="0" w:space="0" w:color="auto"/>
        <w:left w:val="none" w:sz="0" w:space="0" w:color="auto"/>
        <w:bottom w:val="none" w:sz="0" w:space="0" w:color="auto"/>
        <w:right w:val="none" w:sz="0" w:space="0" w:color="auto"/>
      </w:divBdr>
    </w:div>
    <w:div w:id="419831850">
      <w:bodyDiv w:val="1"/>
      <w:marLeft w:val="0"/>
      <w:marRight w:val="0"/>
      <w:marTop w:val="0"/>
      <w:marBottom w:val="0"/>
      <w:divBdr>
        <w:top w:val="none" w:sz="0" w:space="0" w:color="auto"/>
        <w:left w:val="none" w:sz="0" w:space="0" w:color="auto"/>
        <w:bottom w:val="none" w:sz="0" w:space="0" w:color="auto"/>
        <w:right w:val="none" w:sz="0" w:space="0" w:color="auto"/>
      </w:divBdr>
    </w:div>
    <w:div w:id="727849035">
      <w:bodyDiv w:val="1"/>
      <w:marLeft w:val="0"/>
      <w:marRight w:val="0"/>
      <w:marTop w:val="0"/>
      <w:marBottom w:val="0"/>
      <w:divBdr>
        <w:top w:val="none" w:sz="0" w:space="0" w:color="auto"/>
        <w:left w:val="none" w:sz="0" w:space="0" w:color="auto"/>
        <w:bottom w:val="none" w:sz="0" w:space="0" w:color="auto"/>
        <w:right w:val="none" w:sz="0" w:space="0" w:color="auto"/>
      </w:divBdr>
    </w:div>
    <w:div w:id="935400541">
      <w:bodyDiv w:val="1"/>
      <w:marLeft w:val="0"/>
      <w:marRight w:val="0"/>
      <w:marTop w:val="0"/>
      <w:marBottom w:val="0"/>
      <w:divBdr>
        <w:top w:val="none" w:sz="0" w:space="0" w:color="auto"/>
        <w:left w:val="none" w:sz="0" w:space="0" w:color="auto"/>
        <w:bottom w:val="none" w:sz="0" w:space="0" w:color="auto"/>
        <w:right w:val="none" w:sz="0" w:space="0" w:color="auto"/>
      </w:divBdr>
    </w:div>
    <w:div w:id="1042098103">
      <w:bodyDiv w:val="1"/>
      <w:marLeft w:val="0"/>
      <w:marRight w:val="0"/>
      <w:marTop w:val="0"/>
      <w:marBottom w:val="0"/>
      <w:divBdr>
        <w:top w:val="none" w:sz="0" w:space="0" w:color="auto"/>
        <w:left w:val="none" w:sz="0" w:space="0" w:color="auto"/>
        <w:bottom w:val="none" w:sz="0" w:space="0" w:color="auto"/>
        <w:right w:val="none" w:sz="0" w:space="0" w:color="auto"/>
      </w:divBdr>
    </w:div>
    <w:div w:id="1191987661">
      <w:bodyDiv w:val="1"/>
      <w:marLeft w:val="0"/>
      <w:marRight w:val="0"/>
      <w:marTop w:val="0"/>
      <w:marBottom w:val="0"/>
      <w:divBdr>
        <w:top w:val="none" w:sz="0" w:space="0" w:color="auto"/>
        <w:left w:val="none" w:sz="0" w:space="0" w:color="auto"/>
        <w:bottom w:val="none" w:sz="0" w:space="0" w:color="auto"/>
        <w:right w:val="none" w:sz="0" w:space="0" w:color="auto"/>
      </w:divBdr>
    </w:div>
    <w:div w:id="13225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evbbiogaz.com" TargetMode="External"/><Relationship Id="rId1" Type="http://schemas.openxmlformats.org/officeDocument/2006/relationships/hyperlink" Target="mailto:info@evbbioga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Aktaş</dc:creator>
  <cp:keywords/>
  <dc:description/>
  <cp:lastModifiedBy>Şengül  Parlak</cp:lastModifiedBy>
  <cp:revision>17</cp:revision>
  <dcterms:created xsi:type="dcterms:W3CDTF">2025-02-21T11:00:00Z</dcterms:created>
  <dcterms:modified xsi:type="dcterms:W3CDTF">2025-02-26T10:48:00Z</dcterms:modified>
</cp:coreProperties>
</file>